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A6" w:rsidRDefault="00F62FDF">
      <w:pPr>
        <w:pStyle w:val="a6"/>
        <w:spacing w:line="460" w:lineRule="exact"/>
      </w:pPr>
      <w:bookmarkStart w:id="0" w:name="_GoBack"/>
      <w:bookmarkEnd w:id="0"/>
      <w:r>
        <w:rPr>
          <w:rFonts w:ascii="標楷體" w:eastAsia="標楷體" w:hAnsi="標楷體" w:cs="Times New Roman"/>
          <w:color w:val="000000"/>
          <w:sz w:val="40"/>
          <w:szCs w:val="40"/>
        </w:rPr>
        <w:t>教育部</w:t>
      </w:r>
      <w:r>
        <w:rPr>
          <w:rFonts w:ascii="Times New Roman" w:eastAsia="標楷體" w:hAnsi="Times New Roman" w:cs="Times New Roman"/>
          <w:color w:val="000000"/>
          <w:sz w:val="40"/>
          <w:szCs w:val="40"/>
        </w:rPr>
        <w:t>及所屬機關</w:t>
      </w:r>
      <w:r>
        <w:rPr>
          <w:rFonts w:ascii="標楷體" w:eastAsia="標楷體" w:hAnsi="標楷體" w:cs="Times New Roman"/>
          <w:color w:val="000000"/>
          <w:sz w:val="40"/>
          <w:szCs w:val="40"/>
        </w:rPr>
        <w:t>（構）學校具公務員身分之國家代表隊運動選手商業代言</w:t>
      </w:r>
      <w:r>
        <w:rPr>
          <w:rFonts w:ascii="Times New Roman" w:eastAsia="標楷體" w:hAnsi="Times New Roman" w:cs="Times New Roman"/>
          <w:sz w:val="40"/>
          <w:szCs w:val="40"/>
        </w:rPr>
        <w:t>辦法</w:t>
      </w:r>
    </w:p>
    <w:p w:rsidR="00EA79A6" w:rsidRDefault="00F62FDF">
      <w:pPr>
        <w:pStyle w:val="a6"/>
        <w:spacing w:line="460" w:lineRule="exact"/>
        <w:ind w:left="840" w:hanging="840"/>
        <w:jc w:val="both"/>
      </w:pPr>
      <w:r>
        <w:rPr>
          <w:rFonts w:ascii="Times New Roman" w:eastAsia="標楷體" w:hAnsi="Times New Roman" w:cs="Times New Roman"/>
          <w:sz w:val="28"/>
          <w:szCs w:val="28"/>
        </w:rPr>
        <w:t>第一條</w:t>
      </w:r>
      <w:r>
        <w:rPr>
          <w:rFonts w:ascii="新細明體" w:hAnsi="新細明體" w:cs="Times New Roman"/>
          <w:color w:val="FFFFFF"/>
          <w:sz w:val="28"/>
          <w:szCs w:val="28"/>
        </w:rPr>
        <w:t>□□</w:t>
      </w:r>
      <w:r>
        <w:rPr>
          <w:rFonts w:ascii="標楷體" w:eastAsia="標楷體" w:hAnsi="標楷體"/>
          <w:color w:val="000000"/>
          <w:sz w:val="28"/>
          <w:szCs w:val="28"/>
        </w:rPr>
        <w:t>本辦法依國民體育法第二十二條第三項規定訂定之。</w:t>
      </w:r>
    </w:p>
    <w:p w:rsidR="00EA79A6" w:rsidRDefault="00F62FDF">
      <w:pPr>
        <w:pStyle w:val="a6"/>
        <w:spacing w:line="460" w:lineRule="exact"/>
        <w:ind w:left="840" w:hanging="840"/>
        <w:jc w:val="both"/>
      </w:pPr>
      <w:r>
        <w:rPr>
          <w:rFonts w:ascii="Times New Roman" w:eastAsia="標楷體" w:hAnsi="Times New Roman" w:cs="Times New Roman"/>
          <w:sz w:val="28"/>
          <w:szCs w:val="28"/>
        </w:rPr>
        <w:t>第二條</w:t>
      </w:r>
      <w:r>
        <w:rPr>
          <w:rFonts w:ascii="新細明體" w:hAnsi="新細明體" w:cs="Times New Roman"/>
          <w:color w:val="FFFFFF"/>
          <w:sz w:val="28"/>
          <w:szCs w:val="28"/>
        </w:rPr>
        <w:t>□□</w:t>
      </w:r>
      <w:r>
        <w:rPr>
          <w:rFonts w:ascii="Times New Roman" w:eastAsia="標楷體" w:hAnsi="Times New Roman" w:cs="Times New Roman"/>
          <w:color w:val="000000"/>
          <w:sz w:val="28"/>
          <w:szCs w:val="28"/>
        </w:rPr>
        <w:t>本辦法用詞，定義如下</w:t>
      </w:r>
      <w:r>
        <w:rPr>
          <w:rFonts w:ascii="Times New Roman" w:eastAsia="標楷體" w:hAnsi="Times New Roman" w:cs="Times New Roman"/>
          <w:sz w:val="28"/>
          <w:szCs w:val="28"/>
        </w:rPr>
        <w:t>：</w:t>
      </w:r>
    </w:p>
    <w:p w:rsidR="00EA79A6" w:rsidRDefault="00F62FDF">
      <w:pPr>
        <w:pStyle w:val="a6"/>
        <w:spacing w:line="460" w:lineRule="exact"/>
        <w:ind w:left="1985" w:hanging="567"/>
        <w:jc w:val="both"/>
      </w:pPr>
      <w:r>
        <w:rPr>
          <w:rFonts w:ascii="Times New Roman" w:eastAsia="標楷體" w:hAnsi="Times New Roman" w:cs="Times New Roman"/>
          <w:sz w:val="28"/>
          <w:szCs w:val="28"/>
        </w:rPr>
        <w:t>一、</w:t>
      </w:r>
      <w:r>
        <w:rPr>
          <w:rFonts w:ascii="Times New Roman" w:eastAsia="標楷體" w:hAnsi="Times New Roman" w:cs="Times New Roman"/>
          <w:color w:val="000000"/>
          <w:sz w:val="28"/>
          <w:szCs w:val="28"/>
        </w:rPr>
        <w:t>國家代表隊</w:t>
      </w:r>
      <w:r>
        <w:rPr>
          <w:rFonts w:ascii="Times New Roman" w:eastAsia="標楷體" w:hAnsi="Times New Roman" w:cs="Times New Roman"/>
          <w:sz w:val="28"/>
          <w:szCs w:val="28"/>
        </w:rPr>
        <w:t>：指國家代表隊教練與選手選拔培訓及參賽處理辦法第二條所定國家代表隊。</w:t>
      </w:r>
    </w:p>
    <w:p w:rsidR="00EA79A6" w:rsidRDefault="00F62FDF">
      <w:pPr>
        <w:pStyle w:val="a6"/>
        <w:spacing w:line="460" w:lineRule="exact"/>
        <w:ind w:left="1985" w:hanging="567"/>
        <w:jc w:val="both"/>
      </w:pPr>
      <w:r>
        <w:rPr>
          <w:rFonts w:ascii="Times New Roman" w:eastAsia="標楷體" w:hAnsi="Times New Roman" w:cs="Times New Roman"/>
          <w:color w:val="000000"/>
          <w:sz w:val="28"/>
          <w:szCs w:val="28"/>
        </w:rPr>
        <w:t>二、公務員身分</w:t>
      </w:r>
      <w:r>
        <w:rPr>
          <w:rFonts w:ascii="Times New Roman" w:eastAsia="標楷體" w:hAnsi="Times New Roman" w:cs="Times New Roman"/>
          <w:sz w:val="28"/>
          <w:szCs w:val="28"/>
        </w:rPr>
        <w:t>：指適用公務員服務法之人員。</w:t>
      </w:r>
    </w:p>
    <w:p w:rsidR="00EA79A6" w:rsidRDefault="00F62FDF">
      <w:pPr>
        <w:pStyle w:val="a6"/>
        <w:spacing w:line="460" w:lineRule="exact"/>
        <w:ind w:left="1985" w:hanging="567"/>
        <w:jc w:val="both"/>
      </w:pPr>
      <w:r>
        <w:rPr>
          <w:rFonts w:ascii="Times New Roman" w:eastAsia="標楷體" w:hAnsi="Times New Roman" w:cs="Times New Roman"/>
          <w:color w:val="000000"/>
          <w:sz w:val="28"/>
          <w:szCs w:val="28"/>
        </w:rPr>
        <w:t>三、商業代言</w:t>
      </w:r>
      <w:r>
        <w:rPr>
          <w:rFonts w:ascii="Times New Roman" w:eastAsia="標楷體" w:hAnsi="Times New Roman" w:cs="Times New Roman"/>
          <w:sz w:val="28"/>
          <w:szCs w:val="28"/>
        </w:rPr>
        <w:t>：指接受法人、行號或團體邀請，有償或無償為商業性廣告、宣傳或參加其他公開活動。</w:t>
      </w:r>
    </w:p>
    <w:p w:rsidR="00EA79A6" w:rsidRDefault="00F62FDF">
      <w:pPr>
        <w:pStyle w:val="a6"/>
        <w:spacing w:line="460" w:lineRule="exact"/>
        <w:ind w:left="840" w:hanging="840"/>
        <w:jc w:val="both"/>
      </w:pPr>
      <w:r>
        <w:rPr>
          <w:rFonts w:ascii="Times New Roman" w:eastAsia="標楷體" w:hAnsi="Times New Roman" w:cs="Times New Roman"/>
          <w:sz w:val="28"/>
          <w:szCs w:val="28"/>
        </w:rPr>
        <w:t>第三條</w:t>
      </w:r>
      <w:r>
        <w:rPr>
          <w:rFonts w:ascii="新細明體" w:hAnsi="新細明體" w:cs="Times New Roman"/>
          <w:color w:val="FFFFFF"/>
          <w:sz w:val="28"/>
          <w:szCs w:val="28"/>
        </w:rPr>
        <w:t>□□</w:t>
      </w:r>
      <w:r>
        <w:rPr>
          <w:rFonts w:ascii="Times New Roman" w:eastAsia="標楷體" w:hAnsi="Times New Roman" w:cs="Times New Roman"/>
          <w:color w:val="000000"/>
          <w:sz w:val="28"/>
          <w:szCs w:val="28"/>
        </w:rPr>
        <w:t>曾任或現任國家代表隊之運動選手，具公務員身分且任職於教育部及所屬機關（構）學校之人員（以下簡稱機關學校人員）申請接受商業代言，有下列情形之一者，其任職之教育部及所屬機關（構）學校（以下簡稱服務機關學校）應不予同意</w:t>
      </w:r>
      <w:r>
        <w:rPr>
          <w:rFonts w:ascii="Times New Roman" w:eastAsia="標楷體" w:hAnsi="Times New Roman" w:cs="Times New Roman"/>
          <w:sz w:val="28"/>
          <w:szCs w:val="28"/>
        </w:rPr>
        <w:t>：</w:t>
      </w:r>
    </w:p>
    <w:p w:rsidR="00EA79A6" w:rsidRDefault="00F62FDF">
      <w:pPr>
        <w:pStyle w:val="a6"/>
        <w:spacing w:line="460" w:lineRule="exact"/>
        <w:ind w:left="1985" w:hanging="567"/>
        <w:jc w:val="both"/>
      </w:pPr>
      <w:r>
        <w:rPr>
          <w:rFonts w:ascii="Times New Roman" w:eastAsia="標楷體" w:hAnsi="Times New Roman" w:cs="Times New Roman"/>
          <w:sz w:val="28"/>
          <w:szCs w:val="28"/>
        </w:rPr>
        <w:t>一、</w:t>
      </w:r>
      <w:r>
        <w:rPr>
          <w:rFonts w:ascii="Times New Roman" w:eastAsia="標楷體" w:hAnsi="Times New Roman" w:cs="Times New Roman"/>
          <w:color w:val="000000"/>
          <w:sz w:val="28"/>
          <w:szCs w:val="28"/>
        </w:rPr>
        <w:t>對機關學校人員名譽、政府信譽</w:t>
      </w:r>
      <w:r>
        <w:rPr>
          <w:rFonts w:ascii="Times New Roman" w:eastAsia="標楷體" w:hAnsi="Times New Roman" w:cs="Times New Roman"/>
          <w:sz w:val="28"/>
          <w:szCs w:val="28"/>
        </w:rPr>
        <w:t>、其本職性質有妨礙或</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有利益衝突。</w:t>
      </w:r>
    </w:p>
    <w:p w:rsidR="00EA79A6" w:rsidRDefault="00F62FDF">
      <w:pPr>
        <w:pStyle w:val="Standard"/>
        <w:spacing w:line="460" w:lineRule="exact"/>
        <w:ind w:left="1985" w:hanging="567"/>
        <w:jc w:val="both"/>
      </w:pPr>
      <w:r>
        <w:rPr>
          <w:rFonts w:ascii="Times New Roman" w:eastAsia="標楷體" w:hAnsi="Times New Roman" w:cs="Times New Roman"/>
          <w:color w:val="000000"/>
          <w:sz w:val="28"/>
          <w:szCs w:val="28"/>
        </w:rPr>
        <w:t>二</w:t>
      </w:r>
      <w:r>
        <w:rPr>
          <w:rFonts w:ascii="Times New Roman" w:eastAsia="標楷體" w:hAnsi="Times New Roman" w:cs="Times New Roman"/>
          <w:sz w:val="28"/>
          <w:szCs w:val="28"/>
        </w:rPr>
        <w:t>、</w:t>
      </w:r>
      <w:r>
        <w:rPr>
          <w:rFonts w:ascii="Times New Roman" w:eastAsia="標楷體" w:hAnsi="Times New Roman" w:cs="Times New Roman"/>
          <w:color w:val="000000"/>
          <w:sz w:val="28"/>
          <w:szCs w:val="28"/>
        </w:rPr>
        <w:t>教師執行產學合作計畫，對學校授權之技術及其他事項</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商品化之成果或相關產品薦證或商業</w:t>
      </w:r>
      <w:r>
        <w:rPr>
          <w:rFonts w:ascii="Times New Roman" w:eastAsia="標楷體" w:hAnsi="Times New Roman" w:cs="Times New Roman"/>
          <w:color w:val="000000"/>
          <w:sz w:val="28"/>
          <w:szCs w:val="28"/>
        </w:rPr>
        <w:t>代言。</w:t>
      </w:r>
    </w:p>
    <w:p w:rsidR="00EA79A6" w:rsidRDefault="00F62FDF">
      <w:pPr>
        <w:pStyle w:val="Standard"/>
        <w:spacing w:line="460" w:lineRule="exact"/>
        <w:ind w:left="1985" w:hanging="567"/>
        <w:jc w:val="both"/>
      </w:pPr>
      <w:r>
        <w:rPr>
          <w:rFonts w:ascii="Times New Roman" w:eastAsia="標楷體" w:hAnsi="Times New Roman" w:cs="Times New Roman"/>
          <w:sz w:val="28"/>
          <w:szCs w:val="28"/>
        </w:rPr>
        <w:t>三、</w:t>
      </w:r>
      <w:r>
        <w:rPr>
          <w:rFonts w:ascii="Times New Roman" w:eastAsia="標楷體" w:hAnsi="Times New Roman" w:cs="Times New Roman"/>
          <w:color w:val="000000"/>
          <w:sz w:val="28"/>
          <w:szCs w:val="28"/>
        </w:rPr>
        <w:t>因違反法令，經懲處禁賽或停止補助，尚在禁賽或停止</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補助期間。</w:t>
      </w:r>
    </w:p>
    <w:p w:rsidR="00EA79A6" w:rsidRDefault="00F62FDF">
      <w:pPr>
        <w:pStyle w:val="a6"/>
        <w:spacing w:line="460" w:lineRule="exact"/>
        <w:ind w:left="840" w:hanging="840"/>
        <w:jc w:val="both"/>
      </w:pPr>
      <w:r>
        <w:rPr>
          <w:rFonts w:ascii="Times New Roman" w:eastAsia="標楷體" w:hAnsi="Times New Roman" w:cs="Times New Roman"/>
          <w:sz w:val="28"/>
          <w:szCs w:val="28"/>
        </w:rPr>
        <w:t>第四條</w:t>
      </w:r>
      <w:r>
        <w:rPr>
          <w:rFonts w:ascii="新細明體" w:hAnsi="新細明體" w:cs="Times New Roman"/>
          <w:color w:val="FFFFFF"/>
          <w:sz w:val="28"/>
          <w:szCs w:val="28"/>
        </w:rPr>
        <w:t>□□</w:t>
      </w:r>
      <w:r>
        <w:rPr>
          <w:rFonts w:ascii="Times New Roman" w:eastAsia="標楷體" w:hAnsi="Times New Roman" w:cs="Times New Roman"/>
          <w:color w:val="000000"/>
          <w:sz w:val="28"/>
          <w:szCs w:val="28"/>
        </w:rPr>
        <w:t>機關學校人員應事先以書面向服務機關學校提出申請，並取得書面同意後，始得接受商業代言。</w:t>
      </w:r>
    </w:p>
    <w:p w:rsidR="00EA79A6" w:rsidRDefault="00F62FDF">
      <w:pPr>
        <w:pStyle w:val="a6"/>
        <w:spacing w:line="460" w:lineRule="exact"/>
        <w:ind w:left="840" w:hanging="840"/>
        <w:jc w:val="both"/>
      </w:pPr>
      <w:r>
        <w:rPr>
          <w:rFonts w:ascii="Times New Roman" w:eastAsia="標楷體" w:hAnsi="Times New Roman" w:cs="Times New Roman"/>
          <w:color w:val="000000"/>
          <w:sz w:val="28"/>
          <w:szCs w:val="28"/>
        </w:rPr>
        <w:t>第五條</w:t>
      </w:r>
      <w:r>
        <w:rPr>
          <w:rFonts w:ascii="新細明體" w:eastAsia="標楷體" w:hAnsi="新細明體" w:cs="Times New Roman"/>
          <w:color w:val="FFFFFF"/>
          <w:sz w:val="28"/>
          <w:szCs w:val="28"/>
        </w:rPr>
        <w:t>□□</w:t>
      </w:r>
      <w:r>
        <w:rPr>
          <w:rFonts w:ascii="Times New Roman" w:eastAsia="標楷體" w:hAnsi="Times New Roman" w:cs="Times New Roman"/>
          <w:color w:val="000000"/>
          <w:sz w:val="28"/>
          <w:szCs w:val="28"/>
        </w:rPr>
        <w:t>服務機關學校同意機關學校人員接受商業代言</w:t>
      </w:r>
      <w:r>
        <w:rPr>
          <w:rFonts w:ascii="Times New Roman" w:eastAsia="標楷體" w:hAnsi="Times New Roman" w:cs="Times New Roman"/>
          <w:sz w:val="28"/>
          <w:szCs w:val="28"/>
        </w:rPr>
        <w:t>後，發現申請事項、內容虛偽不實，或有第三條各款所列情事時，應撤銷或廢止其同意。</w:t>
      </w:r>
    </w:p>
    <w:p w:rsidR="00EA79A6" w:rsidRDefault="00F62FDF">
      <w:pPr>
        <w:pStyle w:val="a6"/>
        <w:spacing w:line="460" w:lineRule="exact"/>
        <w:ind w:left="840" w:hanging="840"/>
        <w:jc w:val="both"/>
      </w:pPr>
      <w:r>
        <w:rPr>
          <w:rFonts w:ascii="Times New Roman" w:eastAsia="標楷體" w:hAnsi="Times New Roman" w:cs="Times New Roman"/>
          <w:color w:val="000000"/>
          <w:sz w:val="28"/>
          <w:szCs w:val="28"/>
        </w:rPr>
        <w:t>第六條</w:t>
      </w:r>
      <w:r>
        <w:rPr>
          <w:rFonts w:ascii="新細明體" w:eastAsia="標楷體" w:hAnsi="新細明體" w:cs="Times New Roman"/>
          <w:color w:val="FFFFFF"/>
          <w:sz w:val="28"/>
          <w:szCs w:val="28"/>
        </w:rPr>
        <w:t>□□</w:t>
      </w:r>
      <w:r>
        <w:rPr>
          <w:rFonts w:ascii="Times New Roman" w:eastAsia="標楷體" w:hAnsi="Times New Roman" w:cs="Times New Roman"/>
          <w:sz w:val="28"/>
          <w:szCs w:val="28"/>
        </w:rPr>
        <w:t>本辦法自發布日施行。</w:t>
      </w:r>
    </w:p>
    <w:p w:rsidR="00EA79A6" w:rsidRDefault="00EA79A6">
      <w:pPr>
        <w:pStyle w:val="a6"/>
        <w:spacing w:line="460" w:lineRule="exact"/>
        <w:ind w:left="840" w:hanging="840"/>
        <w:jc w:val="both"/>
      </w:pPr>
    </w:p>
    <w:sectPr w:rsidR="00EA79A6">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DF" w:rsidRDefault="00F62FDF">
      <w:r>
        <w:separator/>
      </w:r>
    </w:p>
  </w:endnote>
  <w:endnote w:type="continuationSeparator" w:id="0">
    <w:p w:rsidR="00F62FDF" w:rsidRDefault="00F6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DF" w:rsidRDefault="00F62FDF">
      <w:r>
        <w:rPr>
          <w:color w:val="000000"/>
        </w:rPr>
        <w:separator/>
      </w:r>
    </w:p>
  </w:footnote>
  <w:footnote w:type="continuationSeparator" w:id="0">
    <w:p w:rsidR="00F62FDF" w:rsidRDefault="00F62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36B"/>
    <w:multiLevelType w:val="multilevel"/>
    <w:tmpl w:val="C04CA86C"/>
    <w:styleLink w:val="WWNum2"/>
    <w:lvl w:ilvl="0">
      <w:start w:val="1"/>
      <w:numFmt w:val="japaneseCounting"/>
      <w:lvlText w:val="%1、"/>
      <w:lvlJc w:val="left"/>
      <w:pPr>
        <w:ind w:left="2169" w:hanging="720"/>
      </w:pPr>
    </w:lvl>
    <w:lvl w:ilvl="1">
      <w:start w:val="1"/>
      <w:numFmt w:val="ideographTraditional"/>
      <w:lvlText w:val="%2、"/>
      <w:lvlJc w:val="left"/>
      <w:pPr>
        <w:ind w:left="2409" w:hanging="480"/>
      </w:pPr>
    </w:lvl>
    <w:lvl w:ilvl="2">
      <w:start w:val="1"/>
      <w:numFmt w:val="lowerRoman"/>
      <w:lvlText w:val="%3."/>
      <w:lvlJc w:val="right"/>
      <w:pPr>
        <w:ind w:left="2889" w:hanging="480"/>
      </w:pPr>
    </w:lvl>
    <w:lvl w:ilvl="3">
      <w:start w:val="1"/>
      <w:numFmt w:val="decimal"/>
      <w:lvlText w:val="%4."/>
      <w:lvlJc w:val="left"/>
      <w:pPr>
        <w:ind w:left="3369" w:hanging="480"/>
      </w:pPr>
    </w:lvl>
    <w:lvl w:ilvl="4">
      <w:start w:val="1"/>
      <w:numFmt w:val="ideographTraditional"/>
      <w:lvlText w:val="%5、"/>
      <w:lvlJc w:val="left"/>
      <w:pPr>
        <w:ind w:left="3849" w:hanging="480"/>
      </w:pPr>
    </w:lvl>
    <w:lvl w:ilvl="5">
      <w:start w:val="1"/>
      <w:numFmt w:val="lowerRoman"/>
      <w:lvlText w:val="%6."/>
      <w:lvlJc w:val="right"/>
      <w:pPr>
        <w:ind w:left="4329" w:hanging="480"/>
      </w:pPr>
    </w:lvl>
    <w:lvl w:ilvl="6">
      <w:start w:val="1"/>
      <w:numFmt w:val="decimal"/>
      <w:lvlText w:val="%7."/>
      <w:lvlJc w:val="left"/>
      <w:pPr>
        <w:ind w:left="4809" w:hanging="480"/>
      </w:pPr>
    </w:lvl>
    <w:lvl w:ilvl="7">
      <w:start w:val="1"/>
      <w:numFmt w:val="ideographTraditional"/>
      <w:lvlText w:val="%8、"/>
      <w:lvlJc w:val="left"/>
      <w:pPr>
        <w:ind w:left="5289" w:hanging="480"/>
      </w:pPr>
    </w:lvl>
    <w:lvl w:ilvl="8">
      <w:start w:val="1"/>
      <w:numFmt w:val="lowerRoman"/>
      <w:lvlText w:val="%9."/>
      <w:lvlJc w:val="right"/>
      <w:pPr>
        <w:ind w:left="5769" w:hanging="480"/>
      </w:pPr>
    </w:lvl>
  </w:abstractNum>
  <w:abstractNum w:abstractNumId="1" w15:restartNumberingAfterBreak="0">
    <w:nsid w:val="36B909C8"/>
    <w:multiLevelType w:val="multilevel"/>
    <w:tmpl w:val="E91A49F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77763553"/>
    <w:multiLevelType w:val="multilevel"/>
    <w:tmpl w:val="C4301F74"/>
    <w:styleLink w:val="WWNum1"/>
    <w:lvl w:ilvl="0">
      <w:start w:val="1"/>
      <w:numFmt w:val="japaneseCounting"/>
      <w:lvlText w:val="%1、"/>
      <w:lvlJc w:val="left"/>
      <w:pPr>
        <w:ind w:left="720" w:hanging="480"/>
      </w:pPr>
      <w:rPr>
        <w:color w:val="000000"/>
        <w:u w:val="none"/>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A79A6"/>
    <w:rsid w:val="003E1909"/>
    <w:rsid w:val="00EA79A6"/>
    <w:rsid w:val="00F62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14510-4D9B-4747-86C9-B0360C51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No Spacing"/>
    <w:pPr>
      <w:suppressAutoHyphens/>
    </w:p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Balloon Text"/>
    <w:basedOn w:val="Textbody"/>
    <w:rPr>
      <w:rFonts w:ascii="Calibri Light" w:eastAsia="Calibri Light" w:hAnsi="Calibri Light" w:cs="Times New Roman"/>
      <w:sz w:val="18"/>
      <w:szCs w:val="18"/>
    </w:rPr>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cs="Calibri"/>
      <w:sz w:val="20"/>
      <w:szCs w:val="20"/>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ListLabel1">
    <w:name w:val="ListLabel 1"/>
    <w:rPr>
      <w:color w:val="000000"/>
      <w:u w:val="none"/>
    </w:rPr>
  </w:style>
  <w:style w:type="character" w:customStyle="1" w:styleId="ac">
    <w:name w:val="註解方塊文字 字元"/>
    <w:basedOn w:val="a0"/>
    <w:rPr>
      <w:rFonts w:ascii="Calibri Light" w:eastAsia="新細明體" w:hAnsi="Calibri Light" w:cs="Times New Roman"/>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0259 楊金昌</dc:creator>
  <cp:lastModifiedBy>Admin</cp:lastModifiedBy>
  <cp:revision>2</cp:revision>
  <cp:lastPrinted>2022-07-06T07:52:00Z</cp:lastPrinted>
  <dcterms:created xsi:type="dcterms:W3CDTF">2022-07-14T08:50:00Z</dcterms:created>
  <dcterms:modified xsi:type="dcterms:W3CDTF">2022-07-14T08:50:00Z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